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61E4C">
      <w:pPr>
        <w:rPr>
          <w:rFonts w:hint="eastAsia" w:ascii="仿宋_GB2312" w:hAnsi="仿宋_GB2312" w:eastAsia="仿宋_GB2312" w:cs="仿宋_GB2312"/>
          <w:b/>
          <w:bCs/>
          <w:sz w:val="28"/>
          <w:szCs w:val="28"/>
        </w:rPr>
      </w:pPr>
      <w:bookmarkStart w:id="0" w:name="_GoBack"/>
      <w:bookmarkEnd w:id="0"/>
      <w:r>
        <w:rPr>
          <w:rFonts w:hint="eastAsia" w:ascii="仿宋_GB2312" w:hAnsi="仿宋_GB2312" w:eastAsia="仿宋_GB2312" w:cs="仿宋_GB2312"/>
          <w:b/>
          <w:bCs/>
          <w:sz w:val="28"/>
          <w:szCs w:val="28"/>
        </w:rPr>
        <w:t>附件：</w:t>
      </w:r>
    </w:p>
    <w:p w14:paraId="6CA0E876">
      <w:pPr>
        <w:spacing w:before="156" w:beforeLines="50" w:line="48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2025年度审计机构选聘评分细则</w:t>
      </w:r>
    </w:p>
    <w:tbl>
      <w:tblPr>
        <w:tblStyle w:val="6"/>
        <w:tblW w:w="9085" w:type="dxa"/>
        <w:jc w:val="center"/>
        <w:tblLayout w:type="autofit"/>
        <w:tblCellMar>
          <w:top w:w="0" w:type="dxa"/>
          <w:left w:w="108" w:type="dxa"/>
          <w:bottom w:w="0" w:type="dxa"/>
          <w:right w:w="108" w:type="dxa"/>
        </w:tblCellMar>
      </w:tblPr>
      <w:tblGrid>
        <w:gridCol w:w="787"/>
        <w:gridCol w:w="1195"/>
        <w:gridCol w:w="7103"/>
      </w:tblGrid>
      <w:tr w14:paraId="570C0F04">
        <w:tblPrEx>
          <w:tblCellMar>
            <w:top w:w="0" w:type="dxa"/>
            <w:left w:w="108" w:type="dxa"/>
            <w:bottom w:w="0" w:type="dxa"/>
            <w:right w:w="108" w:type="dxa"/>
          </w:tblCellMar>
        </w:tblPrEx>
        <w:trPr>
          <w:trHeight w:val="48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3787FC31">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1195" w:type="dxa"/>
            <w:tcBorders>
              <w:top w:val="single" w:color="000000" w:sz="4" w:space="0"/>
              <w:left w:val="single" w:color="000000" w:sz="4" w:space="0"/>
              <w:bottom w:val="single" w:color="000000" w:sz="4" w:space="0"/>
              <w:right w:val="single" w:color="000000" w:sz="4" w:space="0"/>
            </w:tcBorders>
            <w:vAlign w:val="center"/>
          </w:tcPr>
          <w:p w14:paraId="4F67295F">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评价要素</w:t>
            </w:r>
          </w:p>
        </w:tc>
        <w:tc>
          <w:tcPr>
            <w:tcW w:w="7103" w:type="dxa"/>
            <w:tcBorders>
              <w:top w:val="single" w:color="000000" w:sz="4" w:space="0"/>
              <w:left w:val="single" w:color="000000" w:sz="4" w:space="0"/>
              <w:bottom w:val="single" w:color="000000" w:sz="4" w:space="0"/>
              <w:right w:val="single" w:color="000000" w:sz="4" w:space="0"/>
            </w:tcBorders>
            <w:vAlign w:val="center"/>
          </w:tcPr>
          <w:p w14:paraId="498D04C3">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评分标准</w:t>
            </w:r>
          </w:p>
        </w:tc>
      </w:tr>
      <w:tr w14:paraId="335D9010">
        <w:tblPrEx>
          <w:tblCellMar>
            <w:top w:w="0" w:type="dxa"/>
            <w:left w:w="108" w:type="dxa"/>
            <w:bottom w:w="0" w:type="dxa"/>
            <w:right w:w="108" w:type="dxa"/>
          </w:tblCellMar>
        </w:tblPrEx>
        <w:trPr>
          <w:trHeight w:val="3220" w:hRule="atLeast"/>
          <w:jc w:val="center"/>
        </w:trPr>
        <w:tc>
          <w:tcPr>
            <w:tcW w:w="787" w:type="dxa"/>
            <w:tcBorders>
              <w:top w:val="single" w:color="000000" w:sz="4" w:space="0"/>
              <w:left w:val="single" w:color="000000" w:sz="4" w:space="0"/>
              <w:right w:val="single" w:color="000000" w:sz="4" w:space="0"/>
            </w:tcBorders>
            <w:vAlign w:val="center"/>
          </w:tcPr>
          <w:p w14:paraId="09F785D6">
            <w:pPr>
              <w:widowControl/>
              <w:jc w:val="center"/>
              <w:textAlignment w:val="center"/>
              <w:rPr>
                <w:color w:val="000000"/>
                <w:sz w:val="22"/>
                <w:szCs w:val="22"/>
              </w:rPr>
            </w:pPr>
            <w:r>
              <w:rPr>
                <w:color w:val="000000"/>
                <w:kern w:val="0"/>
                <w:sz w:val="22"/>
                <w:szCs w:val="22"/>
                <w:lang w:bidi="ar"/>
              </w:rPr>
              <w:t>1</w:t>
            </w:r>
          </w:p>
        </w:tc>
        <w:tc>
          <w:tcPr>
            <w:tcW w:w="1195" w:type="dxa"/>
            <w:tcBorders>
              <w:top w:val="single" w:color="000000" w:sz="4" w:space="0"/>
              <w:left w:val="single" w:color="000000" w:sz="4" w:space="0"/>
              <w:right w:val="single" w:color="000000" w:sz="4" w:space="0"/>
            </w:tcBorders>
            <w:vAlign w:val="center"/>
          </w:tcPr>
          <w:p w14:paraId="2890C8E1">
            <w:pPr>
              <w:widowControl/>
              <w:jc w:val="center"/>
              <w:textAlignment w:val="center"/>
              <w:rPr>
                <w:color w:val="000000"/>
                <w:sz w:val="22"/>
                <w:szCs w:val="22"/>
              </w:rPr>
            </w:pPr>
            <w:r>
              <w:rPr>
                <w:rStyle w:val="10"/>
                <w:rFonts w:hint="default" w:ascii="Times New Roman" w:hAnsi="Times New Roman" w:cs="Times New Roman"/>
                <w:lang w:bidi="ar"/>
              </w:rPr>
              <w:t>资质条件</w:t>
            </w:r>
            <w:r>
              <w:rPr>
                <w:rStyle w:val="10"/>
                <w:rFonts w:hint="default" w:ascii="Times New Roman" w:hAnsi="Times New Roman" w:cs="Times New Roman"/>
                <w:lang w:bidi="ar"/>
              </w:rPr>
              <w:br w:type="textWrapping"/>
            </w:r>
            <w:r>
              <w:rPr>
                <w:rStyle w:val="11"/>
                <w:lang w:bidi="ar"/>
              </w:rPr>
              <w:t>（8</w:t>
            </w:r>
            <w:r>
              <w:rPr>
                <w:rStyle w:val="10"/>
                <w:rFonts w:hint="default" w:ascii="Times New Roman" w:hAnsi="Times New Roman" w:cs="Times New Roman"/>
                <w:lang w:bidi="ar"/>
              </w:rPr>
              <w:t>分）</w:t>
            </w:r>
          </w:p>
        </w:tc>
        <w:tc>
          <w:tcPr>
            <w:tcW w:w="7103" w:type="dxa"/>
            <w:tcBorders>
              <w:top w:val="single" w:color="000000" w:sz="4" w:space="0"/>
              <w:left w:val="single" w:color="000000" w:sz="4" w:space="0"/>
              <w:bottom w:val="single" w:color="000000" w:sz="4" w:space="0"/>
              <w:right w:val="single" w:color="000000" w:sz="4" w:space="0"/>
            </w:tcBorders>
            <w:vAlign w:val="center"/>
          </w:tcPr>
          <w:p w14:paraId="7726ACF4">
            <w:pPr>
              <w:widowControl/>
              <w:numPr>
                <w:ilvl w:val="0"/>
                <w:numId w:val="1"/>
              </w:numPr>
              <w:textAlignment w:val="center"/>
              <w:rPr>
                <w:color w:val="000000"/>
                <w:sz w:val="22"/>
                <w:szCs w:val="22"/>
                <w:highlight w:val="none"/>
              </w:rPr>
            </w:pPr>
            <w:r>
              <w:rPr>
                <w:rStyle w:val="10"/>
                <w:rFonts w:hint="default" w:ascii="Times New Roman" w:hAnsi="Times New Roman" w:cs="Times New Roman"/>
                <w:highlight w:val="none"/>
                <w:lang w:bidi="ar"/>
              </w:rPr>
              <w:t>在中国境内依法注册成立的独立法人或其他组织，具备国家行业主管部门和中国证监会规定的开展证券期货相关业务所需的执业资格，得</w:t>
            </w:r>
            <w:r>
              <w:rPr>
                <w:rStyle w:val="11"/>
                <w:rFonts w:hint="eastAsia"/>
                <w:highlight w:val="none"/>
                <w:lang w:val="en-US" w:eastAsia="zh-CN" w:bidi="ar"/>
              </w:rPr>
              <w:t>2</w:t>
            </w:r>
            <w:r>
              <w:rPr>
                <w:rStyle w:val="10"/>
                <w:rFonts w:hint="default" w:ascii="Times New Roman" w:hAnsi="Times New Roman" w:cs="Times New Roman"/>
                <w:highlight w:val="none"/>
                <w:lang w:bidi="ar"/>
              </w:rPr>
              <w:t>分；</w:t>
            </w:r>
          </w:p>
          <w:p w14:paraId="224805F6">
            <w:pPr>
              <w:widowControl/>
              <w:numPr>
                <w:ilvl w:val="0"/>
                <w:numId w:val="1"/>
              </w:numPr>
              <w:textAlignment w:val="center"/>
              <w:rPr>
                <w:color w:val="000000"/>
                <w:sz w:val="22"/>
                <w:szCs w:val="22"/>
                <w:highlight w:val="none"/>
              </w:rPr>
            </w:pPr>
            <w:r>
              <w:rPr>
                <w:rStyle w:val="10"/>
                <w:rFonts w:hint="default" w:ascii="Times New Roman" w:hAnsi="Times New Roman" w:cs="Times New Roman"/>
                <w:highlight w:val="none"/>
                <w:lang w:bidi="ar"/>
              </w:rPr>
              <w:t>具有固定的工作场所、健全的组织机构和完善的内部管理和控制制度，得</w:t>
            </w:r>
            <w:r>
              <w:rPr>
                <w:rStyle w:val="11"/>
                <w:rFonts w:hint="eastAsia"/>
                <w:highlight w:val="none"/>
                <w:lang w:val="en-US" w:eastAsia="zh-CN" w:bidi="ar"/>
              </w:rPr>
              <w:t>2</w:t>
            </w:r>
            <w:r>
              <w:rPr>
                <w:rStyle w:val="10"/>
                <w:rFonts w:hint="default" w:ascii="Times New Roman" w:hAnsi="Times New Roman" w:cs="Times New Roman"/>
                <w:highlight w:val="none"/>
                <w:lang w:bidi="ar"/>
              </w:rPr>
              <w:t>分；</w:t>
            </w:r>
          </w:p>
          <w:p w14:paraId="46997427">
            <w:pPr>
              <w:keepNext w:val="0"/>
              <w:keepLines w:val="0"/>
              <w:widowControl/>
              <w:numPr>
                <w:ilvl w:val="0"/>
                <w:numId w:val="1"/>
              </w:numPr>
              <w:suppressLineNumbers w:val="0"/>
              <w:jc w:val="both"/>
              <w:textAlignment w:val="center"/>
              <w:rPr>
                <w:rStyle w:val="11"/>
                <w:rFonts w:hint="default" w:ascii="Times New Roman" w:hAnsi="Times New Roman" w:cs="Times New Roman"/>
                <w:highlight w:val="none"/>
                <w:lang w:bidi="ar"/>
              </w:rPr>
            </w:pPr>
            <w:r>
              <w:rPr>
                <w:rStyle w:val="10"/>
                <w:rFonts w:hint="default" w:ascii="Times New Roman" w:hAnsi="Times New Roman" w:cs="Times New Roman"/>
                <w:lang w:val="en-US" w:eastAsia="zh-CN" w:bidi="ar"/>
              </w:rPr>
              <w:t>在公司注册市级区域内有常设服务场所，得</w:t>
            </w:r>
            <w:r>
              <w:rPr>
                <w:rStyle w:val="11"/>
                <w:rFonts w:hint="default" w:ascii="Times New Roman" w:hAnsi="Times New Roman" w:eastAsia="宋体" w:cs="Times New Roman"/>
                <w:lang w:val="en-US" w:eastAsia="zh-CN" w:bidi="ar"/>
              </w:rPr>
              <w:t>2</w:t>
            </w:r>
            <w:r>
              <w:rPr>
                <w:rStyle w:val="10"/>
                <w:rFonts w:hint="default" w:ascii="Times New Roman" w:hAnsi="Times New Roman" w:cs="Times New Roman"/>
                <w:lang w:val="en-US" w:eastAsia="zh-CN" w:bidi="ar"/>
              </w:rPr>
              <w:t>分；</w:t>
            </w:r>
          </w:p>
          <w:p w14:paraId="04ADD274">
            <w:pPr>
              <w:widowControl/>
              <w:numPr>
                <w:ilvl w:val="0"/>
                <w:numId w:val="1"/>
              </w:numPr>
              <w:ind w:left="0" w:leftChars="0" w:firstLine="0" w:firstLineChars="0"/>
              <w:textAlignment w:val="center"/>
              <w:rPr>
                <w:rStyle w:val="11"/>
                <w:rFonts w:hint="default" w:ascii="Times New Roman" w:hAnsi="Times New Roman" w:cs="Times New Roman"/>
                <w:highlight w:val="none"/>
                <w:lang w:bidi="ar"/>
              </w:rPr>
            </w:pPr>
            <w:r>
              <w:rPr>
                <w:rStyle w:val="10"/>
                <w:rFonts w:hint="default" w:ascii="Times New Roman" w:hAnsi="Times New Roman" w:cs="Times New Roman"/>
                <w:highlight w:val="none"/>
                <w:lang w:bidi="ar"/>
              </w:rPr>
              <w:t>供应商</w:t>
            </w:r>
            <w:r>
              <w:rPr>
                <w:rStyle w:val="11"/>
                <w:rFonts w:hint="default" w:ascii="Times New Roman" w:hAnsi="Times New Roman" w:cs="Times New Roman"/>
                <w:highlight w:val="none"/>
                <w:lang w:bidi="ar"/>
              </w:rPr>
              <w:t>具备有效的质量管理体系认证证书、企业信用等级证书，每提供一项证书得1分，满分2分。</w:t>
            </w:r>
          </w:p>
          <w:p w14:paraId="6C761718">
            <w:pPr>
              <w:widowControl/>
              <w:textAlignment w:val="center"/>
              <w:rPr>
                <w:color w:val="000000"/>
                <w:sz w:val="22"/>
                <w:szCs w:val="22"/>
                <w:highlight w:val="none"/>
              </w:rPr>
            </w:pPr>
            <w:r>
              <w:rPr>
                <w:rStyle w:val="11"/>
                <w:rFonts w:hint="default" w:ascii="Times New Roman" w:hAnsi="Times New Roman" w:cs="Times New Roman"/>
                <w:highlight w:val="none"/>
                <w:lang w:bidi="ar"/>
              </w:rPr>
              <w:t>（投标文件中须提供证书复印件并加盖公章，未提供证明材料或不符合要求的不得分</w:t>
            </w:r>
            <w:r>
              <w:rPr>
                <w:rStyle w:val="11"/>
                <w:highlight w:val="none"/>
                <w:lang w:bidi="ar"/>
              </w:rPr>
              <w:t>）</w:t>
            </w:r>
          </w:p>
        </w:tc>
      </w:tr>
      <w:tr w14:paraId="7A48B8B4">
        <w:tblPrEx>
          <w:tblCellMar>
            <w:top w:w="0" w:type="dxa"/>
            <w:left w:w="108" w:type="dxa"/>
            <w:bottom w:w="0" w:type="dxa"/>
            <w:right w:w="108" w:type="dxa"/>
          </w:tblCellMar>
        </w:tblPrEx>
        <w:trPr>
          <w:trHeight w:val="1425"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41F1F508">
            <w:pPr>
              <w:widowControl/>
              <w:jc w:val="center"/>
              <w:textAlignment w:val="center"/>
              <w:rPr>
                <w:color w:val="000000"/>
                <w:sz w:val="22"/>
                <w:szCs w:val="22"/>
              </w:rPr>
            </w:pPr>
            <w:r>
              <w:rPr>
                <w:color w:val="000000"/>
                <w:kern w:val="0"/>
                <w:sz w:val="22"/>
                <w:szCs w:val="22"/>
                <w:lang w:bidi="ar"/>
              </w:rPr>
              <w:t>2</w:t>
            </w:r>
          </w:p>
        </w:tc>
        <w:tc>
          <w:tcPr>
            <w:tcW w:w="1195" w:type="dxa"/>
            <w:tcBorders>
              <w:top w:val="single" w:color="000000" w:sz="4" w:space="0"/>
              <w:left w:val="single" w:color="000000" w:sz="4" w:space="0"/>
              <w:bottom w:val="single" w:color="000000" w:sz="4" w:space="0"/>
              <w:right w:val="single" w:color="000000" w:sz="4" w:space="0"/>
            </w:tcBorders>
            <w:vAlign w:val="center"/>
          </w:tcPr>
          <w:p w14:paraId="0D31F05C">
            <w:pPr>
              <w:widowControl/>
              <w:jc w:val="center"/>
              <w:textAlignment w:val="center"/>
              <w:rPr>
                <w:color w:val="000000"/>
                <w:sz w:val="22"/>
                <w:szCs w:val="22"/>
              </w:rPr>
            </w:pPr>
            <w:r>
              <w:rPr>
                <w:rStyle w:val="10"/>
                <w:rFonts w:hint="default" w:ascii="Times New Roman" w:hAnsi="Times New Roman" w:cs="Times New Roman"/>
                <w:lang w:bidi="ar"/>
              </w:rPr>
              <w:t>执业记录</w:t>
            </w:r>
            <w:r>
              <w:rPr>
                <w:rStyle w:val="10"/>
                <w:rFonts w:hint="default" w:ascii="Times New Roman" w:hAnsi="Times New Roman" w:cs="Times New Roman"/>
                <w:lang w:bidi="ar"/>
              </w:rPr>
              <w:br w:type="textWrapping"/>
            </w:r>
            <w:r>
              <w:rPr>
                <w:rStyle w:val="10"/>
                <w:rFonts w:hint="default" w:ascii="Times New Roman" w:hAnsi="Times New Roman" w:cs="Times New Roman"/>
                <w:lang w:bidi="ar"/>
              </w:rPr>
              <w:t>（</w:t>
            </w:r>
            <w:r>
              <w:rPr>
                <w:rStyle w:val="11"/>
                <w:lang w:bidi="ar"/>
              </w:rPr>
              <w:t>8</w:t>
            </w:r>
            <w:r>
              <w:rPr>
                <w:rStyle w:val="10"/>
                <w:rFonts w:hint="default" w:ascii="Times New Roman" w:hAnsi="Times New Roman" w:cs="Times New Roman"/>
                <w:lang w:bidi="ar"/>
              </w:rPr>
              <w:t>分）</w:t>
            </w:r>
          </w:p>
        </w:tc>
        <w:tc>
          <w:tcPr>
            <w:tcW w:w="7103" w:type="dxa"/>
            <w:tcBorders>
              <w:top w:val="single" w:color="000000" w:sz="4" w:space="0"/>
              <w:left w:val="single" w:color="000000" w:sz="4" w:space="0"/>
              <w:bottom w:val="single" w:color="000000" w:sz="4" w:space="0"/>
              <w:right w:val="single" w:color="000000" w:sz="4" w:space="0"/>
            </w:tcBorders>
            <w:vAlign w:val="center"/>
          </w:tcPr>
          <w:p w14:paraId="2B8F42AE">
            <w:pPr>
              <w:widowControl/>
              <w:numPr>
                <w:ilvl w:val="0"/>
                <w:numId w:val="2"/>
              </w:numPr>
              <w:textAlignment w:val="center"/>
              <w:rPr>
                <w:rStyle w:val="10"/>
                <w:rFonts w:hint="default" w:ascii="Times New Roman" w:hAnsi="Times New Roman" w:cs="Times New Roman"/>
                <w:highlight w:val="none"/>
                <w:lang w:bidi="ar"/>
              </w:rPr>
            </w:pPr>
            <w:r>
              <w:rPr>
                <w:rStyle w:val="10"/>
                <w:rFonts w:hint="default" w:ascii="Times New Roman" w:hAnsi="Times New Roman" w:cs="Times New Roman"/>
                <w:highlight w:val="none"/>
                <w:lang w:bidi="ar"/>
              </w:rPr>
              <w:t>供应商近</w:t>
            </w:r>
            <w:r>
              <w:rPr>
                <w:rStyle w:val="10"/>
                <w:rFonts w:ascii="Times New Roman" w:hAnsi="Times New Roman" w:cs="Times New Roman"/>
                <w:highlight w:val="none"/>
                <w:lang w:bidi="ar"/>
              </w:rPr>
              <w:t>五</w:t>
            </w:r>
            <w:r>
              <w:rPr>
                <w:rStyle w:val="10"/>
                <w:rFonts w:hint="default" w:ascii="Times New Roman" w:hAnsi="Times New Roman" w:cs="Times New Roman"/>
                <w:highlight w:val="none"/>
                <w:lang w:bidi="ar"/>
              </w:rPr>
              <w:t>年（</w:t>
            </w:r>
            <w:r>
              <w:rPr>
                <w:rStyle w:val="11"/>
                <w:highlight w:val="none"/>
                <w:lang w:bidi="ar"/>
              </w:rPr>
              <w:t>202</w:t>
            </w:r>
            <w:r>
              <w:rPr>
                <w:rStyle w:val="11"/>
                <w:rFonts w:hint="eastAsia"/>
                <w:highlight w:val="none"/>
                <w:lang w:bidi="ar"/>
              </w:rPr>
              <w:t>0</w:t>
            </w:r>
            <w:r>
              <w:rPr>
                <w:rStyle w:val="10"/>
                <w:rFonts w:hint="default" w:ascii="Times New Roman" w:hAnsi="Times New Roman" w:cs="Times New Roman"/>
                <w:highlight w:val="none"/>
                <w:lang w:bidi="ar"/>
              </w:rPr>
              <w:t>年</w:t>
            </w:r>
            <w:r>
              <w:rPr>
                <w:rStyle w:val="11"/>
                <w:highlight w:val="none"/>
                <w:lang w:bidi="ar"/>
              </w:rPr>
              <w:t>1</w:t>
            </w:r>
            <w:r>
              <w:rPr>
                <w:rStyle w:val="10"/>
                <w:rFonts w:hint="default" w:ascii="Times New Roman" w:hAnsi="Times New Roman" w:cs="Times New Roman"/>
                <w:highlight w:val="none"/>
                <w:lang w:bidi="ar"/>
              </w:rPr>
              <w:t>月</w:t>
            </w:r>
            <w:r>
              <w:rPr>
                <w:rStyle w:val="11"/>
                <w:highlight w:val="none"/>
                <w:lang w:bidi="ar"/>
              </w:rPr>
              <w:t>1</w:t>
            </w:r>
            <w:r>
              <w:rPr>
                <w:rStyle w:val="10"/>
                <w:rFonts w:hint="default" w:ascii="Times New Roman" w:hAnsi="Times New Roman" w:cs="Times New Roman"/>
                <w:highlight w:val="none"/>
                <w:lang w:bidi="ar"/>
              </w:rPr>
              <w:t>日至今）不存在不良状况或不良信用记录，项目人员无执业质量不良记录，得</w:t>
            </w:r>
            <w:r>
              <w:rPr>
                <w:rStyle w:val="11"/>
                <w:highlight w:val="none"/>
                <w:lang w:bidi="ar"/>
              </w:rPr>
              <w:t>4</w:t>
            </w:r>
            <w:r>
              <w:rPr>
                <w:rStyle w:val="10"/>
                <w:rFonts w:hint="default" w:ascii="Times New Roman" w:hAnsi="Times New Roman" w:cs="Times New Roman"/>
                <w:highlight w:val="none"/>
                <w:lang w:bidi="ar"/>
              </w:rPr>
              <w:t>分；</w:t>
            </w:r>
          </w:p>
          <w:p w14:paraId="386049F5">
            <w:pPr>
              <w:widowControl/>
              <w:numPr>
                <w:ilvl w:val="0"/>
                <w:numId w:val="2"/>
              </w:numPr>
              <w:textAlignment w:val="center"/>
              <w:rPr>
                <w:rStyle w:val="10"/>
                <w:rFonts w:hint="default" w:ascii="Times New Roman" w:hAnsi="Times New Roman" w:cs="Times New Roman"/>
                <w:highlight w:val="none"/>
                <w:lang w:bidi="ar"/>
              </w:rPr>
            </w:pPr>
            <w:r>
              <w:rPr>
                <w:rStyle w:val="10"/>
                <w:rFonts w:hint="default" w:ascii="Times New Roman" w:hAnsi="Times New Roman" w:cs="Times New Roman"/>
                <w:highlight w:val="none"/>
                <w:lang w:bidi="ar"/>
              </w:rPr>
              <w:t>供应商须提供近三年（2022年1月1日至今）承担过</w:t>
            </w:r>
            <w:r>
              <w:rPr>
                <w:rStyle w:val="10"/>
                <w:rFonts w:ascii="Times New Roman" w:hAnsi="Times New Roman" w:cs="Times New Roman"/>
                <w:highlight w:val="none"/>
                <w:lang w:bidi="ar"/>
              </w:rPr>
              <w:t>科创板</w:t>
            </w:r>
            <w:r>
              <w:rPr>
                <w:rStyle w:val="10"/>
                <w:rFonts w:hint="default" w:ascii="Times New Roman" w:hAnsi="Times New Roman" w:cs="Times New Roman"/>
                <w:highlight w:val="none"/>
                <w:lang w:bidi="ar"/>
              </w:rPr>
              <w:t>上市公司审计咨询服务的类似业绩，每提供1项业绩得</w:t>
            </w:r>
            <w:r>
              <w:rPr>
                <w:rStyle w:val="10"/>
                <w:rFonts w:hint="default" w:ascii="Times New Roman" w:hAnsi="Times New Roman" w:cs="Times New Roman"/>
                <w:highlight w:val="none"/>
                <w:lang w:val="en-US" w:eastAsia="zh-CN" w:bidi="ar"/>
              </w:rPr>
              <w:t>0.5</w:t>
            </w:r>
            <w:r>
              <w:rPr>
                <w:rStyle w:val="10"/>
                <w:rFonts w:hint="default" w:ascii="Times New Roman" w:hAnsi="Times New Roman" w:cs="Times New Roman"/>
                <w:highlight w:val="none"/>
                <w:lang w:bidi="ar"/>
              </w:rPr>
              <w:t>分，满分</w:t>
            </w:r>
            <w:r>
              <w:rPr>
                <w:rStyle w:val="10"/>
                <w:rFonts w:hint="default" w:ascii="Times New Roman" w:hAnsi="Times New Roman" w:cs="Times New Roman"/>
                <w:highlight w:val="none"/>
                <w:lang w:val="en-US" w:eastAsia="zh-CN" w:bidi="ar"/>
              </w:rPr>
              <w:t>2</w:t>
            </w:r>
            <w:r>
              <w:rPr>
                <w:rStyle w:val="10"/>
                <w:rFonts w:hint="default" w:ascii="Times New Roman" w:hAnsi="Times New Roman" w:cs="Times New Roman"/>
                <w:highlight w:val="none"/>
                <w:lang w:bidi="ar"/>
              </w:rPr>
              <w:t>分</w:t>
            </w:r>
            <w:r>
              <w:rPr>
                <w:rStyle w:val="10"/>
                <w:rFonts w:hint="default" w:ascii="Times New Roman" w:hAnsi="Times New Roman" w:cs="Times New Roman"/>
                <w:highlight w:val="none"/>
                <w:lang w:eastAsia="zh-CN" w:bidi="ar"/>
              </w:rPr>
              <w:t>；</w:t>
            </w:r>
            <w:r>
              <w:rPr>
                <w:rStyle w:val="10"/>
                <w:rFonts w:hint="eastAsia" w:cs="Times New Roman"/>
                <w:highlight w:val="none"/>
                <w:lang w:val="en-US" w:eastAsia="zh-CN" w:bidi="ar"/>
              </w:rPr>
              <w:t>供应商</w:t>
            </w:r>
            <w:r>
              <w:rPr>
                <w:rStyle w:val="10"/>
                <w:rFonts w:hint="default" w:ascii="Times New Roman" w:hAnsi="Times New Roman" w:cs="Times New Roman"/>
                <w:highlight w:val="none"/>
                <w:lang w:val="en-US" w:eastAsia="zh-CN" w:bidi="ar"/>
              </w:rPr>
              <w:t>派至公司团队</w:t>
            </w:r>
            <w:r>
              <w:rPr>
                <w:rStyle w:val="10"/>
                <w:rFonts w:hint="eastAsia" w:cs="Times New Roman"/>
                <w:highlight w:val="none"/>
                <w:lang w:val="en-US" w:eastAsia="zh-CN" w:bidi="ar"/>
              </w:rPr>
              <w:t>负责人</w:t>
            </w:r>
            <w:r>
              <w:rPr>
                <w:rStyle w:val="10"/>
                <w:rFonts w:hint="default" w:ascii="Times New Roman" w:hAnsi="Times New Roman" w:cs="Times New Roman"/>
                <w:highlight w:val="none"/>
                <w:lang w:val="en-US" w:eastAsia="zh-CN" w:bidi="ar"/>
              </w:rPr>
              <w:t>承担过科创板IPO项目，得2分</w:t>
            </w:r>
            <w:r>
              <w:rPr>
                <w:rStyle w:val="10"/>
                <w:rFonts w:hint="default" w:ascii="Times New Roman" w:hAnsi="Times New Roman" w:cs="Times New Roman"/>
                <w:highlight w:val="none"/>
                <w:lang w:bidi="ar"/>
              </w:rPr>
              <w:t>。</w:t>
            </w:r>
          </w:p>
        </w:tc>
      </w:tr>
      <w:tr w14:paraId="5BDD3062">
        <w:tblPrEx>
          <w:tblCellMar>
            <w:top w:w="0" w:type="dxa"/>
            <w:left w:w="108" w:type="dxa"/>
            <w:bottom w:w="0" w:type="dxa"/>
            <w:right w:w="108" w:type="dxa"/>
          </w:tblCellMar>
        </w:tblPrEx>
        <w:trPr>
          <w:trHeight w:val="3347"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732BA843">
            <w:pPr>
              <w:widowControl/>
              <w:jc w:val="center"/>
              <w:textAlignment w:val="center"/>
              <w:rPr>
                <w:color w:val="000000"/>
                <w:sz w:val="22"/>
                <w:szCs w:val="22"/>
              </w:rPr>
            </w:pPr>
            <w:r>
              <w:rPr>
                <w:color w:val="000000"/>
                <w:kern w:val="0"/>
                <w:sz w:val="22"/>
                <w:szCs w:val="22"/>
                <w:lang w:bidi="ar"/>
              </w:rPr>
              <w:t>3</w:t>
            </w:r>
          </w:p>
        </w:tc>
        <w:tc>
          <w:tcPr>
            <w:tcW w:w="1195" w:type="dxa"/>
            <w:tcBorders>
              <w:top w:val="single" w:color="000000" w:sz="4" w:space="0"/>
              <w:left w:val="single" w:color="000000" w:sz="4" w:space="0"/>
              <w:bottom w:val="single" w:color="000000" w:sz="4" w:space="0"/>
              <w:right w:val="single" w:color="000000" w:sz="4" w:space="0"/>
            </w:tcBorders>
            <w:vAlign w:val="center"/>
          </w:tcPr>
          <w:p w14:paraId="550B33B5">
            <w:pPr>
              <w:widowControl/>
              <w:jc w:val="center"/>
              <w:textAlignment w:val="center"/>
              <w:rPr>
                <w:rStyle w:val="10"/>
                <w:rFonts w:hint="default" w:ascii="Times New Roman" w:hAnsi="Times New Roman" w:cs="Times New Roman"/>
                <w:lang w:bidi="ar"/>
              </w:rPr>
            </w:pPr>
            <w:r>
              <w:rPr>
                <w:rStyle w:val="10"/>
                <w:rFonts w:hint="default" w:ascii="Times New Roman" w:hAnsi="Times New Roman" w:cs="Times New Roman"/>
                <w:lang w:bidi="ar"/>
              </w:rPr>
              <w:t>质量管理水平</w:t>
            </w:r>
          </w:p>
          <w:p w14:paraId="2E31E061">
            <w:pPr>
              <w:widowControl/>
              <w:jc w:val="center"/>
              <w:textAlignment w:val="center"/>
              <w:rPr>
                <w:color w:val="000000"/>
                <w:sz w:val="22"/>
                <w:szCs w:val="22"/>
              </w:rPr>
            </w:pPr>
            <w:r>
              <w:rPr>
                <w:rStyle w:val="10"/>
                <w:rFonts w:hint="default" w:ascii="Times New Roman" w:hAnsi="Times New Roman" w:cs="Times New Roman"/>
                <w:lang w:bidi="ar"/>
              </w:rPr>
              <w:t>（</w:t>
            </w:r>
            <w:r>
              <w:rPr>
                <w:rStyle w:val="11"/>
                <w:lang w:bidi="ar"/>
              </w:rPr>
              <w:t>40</w:t>
            </w:r>
            <w:r>
              <w:rPr>
                <w:rStyle w:val="10"/>
                <w:rFonts w:hint="default" w:ascii="Times New Roman" w:hAnsi="Times New Roman" w:cs="Times New Roman"/>
                <w:lang w:bidi="ar"/>
              </w:rPr>
              <w:t>分）</w:t>
            </w:r>
          </w:p>
        </w:tc>
        <w:tc>
          <w:tcPr>
            <w:tcW w:w="7103" w:type="dxa"/>
            <w:tcBorders>
              <w:top w:val="single" w:color="000000" w:sz="4" w:space="0"/>
              <w:left w:val="single" w:color="000000" w:sz="4" w:space="0"/>
              <w:bottom w:val="single" w:color="auto" w:sz="4" w:space="0"/>
              <w:right w:val="single" w:color="000000" w:sz="4" w:space="0"/>
            </w:tcBorders>
            <w:vAlign w:val="center"/>
          </w:tcPr>
          <w:p w14:paraId="5165BE05">
            <w:pPr>
              <w:widowControl/>
              <w:textAlignment w:val="center"/>
              <w:rPr>
                <w:color w:val="000000"/>
                <w:sz w:val="22"/>
                <w:szCs w:val="22"/>
              </w:rPr>
            </w:pPr>
            <w:r>
              <w:rPr>
                <w:rStyle w:val="10"/>
                <w:rFonts w:hint="default" w:ascii="Times New Roman" w:hAnsi="Times New Roman" w:cs="Times New Roman"/>
                <w:lang w:bidi="ar"/>
              </w:rPr>
              <w:t>供应商</w:t>
            </w:r>
            <w:r>
              <w:rPr>
                <w:color w:val="000000"/>
                <w:sz w:val="22"/>
                <w:szCs w:val="22"/>
              </w:rPr>
              <w:t>针对本项目的服务工作提供质量管理方案，包含但不限于：质量管理制度及实施情况、项目咨询、意见分歧解决、项目质量复核、项目质量检查、质量管理缺陷识别与整改等内容及措施，评分标准：</w:t>
            </w:r>
          </w:p>
          <w:p w14:paraId="3DCD266A">
            <w:pPr>
              <w:widowControl/>
              <w:numPr>
                <w:ilvl w:val="0"/>
                <w:numId w:val="3"/>
              </w:numPr>
              <w:textAlignment w:val="center"/>
              <w:rPr>
                <w:color w:val="000000"/>
                <w:sz w:val="22"/>
                <w:szCs w:val="22"/>
              </w:rPr>
            </w:pPr>
            <w:r>
              <w:rPr>
                <w:color w:val="000000"/>
                <w:sz w:val="22"/>
                <w:szCs w:val="22"/>
              </w:rPr>
              <w:t>质量管理方案内容全面完整、逻辑科学缜密、措施得当切实可行、可操作性强，得35-40分；</w:t>
            </w:r>
          </w:p>
          <w:p w14:paraId="126F2B6F">
            <w:pPr>
              <w:widowControl/>
              <w:numPr>
                <w:ilvl w:val="0"/>
                <w:numId w:val="3"/>
              </w:numPr>
              <w:textAlignment w:val="center"/>
              <w:rPr>
                <w:color w:val="000000"/>
                <w:sz w:val="22"/>
                <w:szCs w:val="22"/>
              </w:rPr>
            </w:pPr>
            <w:r>
              <w:rPr>
                <w:color w:val="000000"/>
                <w:sz w:val="22"/>
                <w:szCs w:val="22"/>
              </w:rPr>
              <w:t>质量管理方案内容全面性一般、逻辑顺畅、措施一般、可操作性一般，得20-34分；</w:t>
            </w:r>
          </w:p>
          <w:p w14:paraId="06AFA63E">
            <w:pPr>
              <w:widowControl/>
              <w:numPr>
                <w:ilvl w:val="0"/>
                <w:numId w:val="3"/>
              </w:numPr>
              <w:textAlignment w:val="center"/>
              <w:rPr>
                <w:color w:val="000000"/>
                <w:sz w:val="22"/>
                <w:szCs w:val="22"/>
              </w:rPr>
            </w:pPr>
            <w:r>
              <w:rPr>
                <w:color w:val="000000"/>
                <w:sz w:val="22"/>
                <w:szCs w:val="22"/>
              </w:rPr>
              <w:t>质量管理方案内容有缺失、逻辑混乱不清、措施描述片面、缺乏可操作性的，得1-19分；</w:t>
            </w:r>
          </w:p>
          <w:p w14:paraId="1269D20B">
            <w:pPr>
              <w:widowControl/>
              <w:numPr>
                <w:ilvl w:val="0"/>
                <w:numId w:val="3"/>
              </w:numPr>
              <w:textAlignment w:val="center"/>
              <w:rPr>
                <w:color w:val="000000"/>
                <w:sz w:val="22"/>
                <w:szCs w:val="22"/>
              </w:rPr>
            </w:pPr>
            <w:r>
              <w:rPr>
                <w:color w:val="000000"/>
                <w:sz w:val="22"/>
                <w:szCs w:val="22"/>
              </w:rPr>
              <w:t>未提供方案的不得分</w:t>
            </w:r>
            <w:r>
              <w:rPr>
                <w:rFonts w:hint="eastAsia"/>
                <w:color w:val="000000"/>
                <w:sz w:val="22"/>
                <w:szCs w:val="22"/>
              </w:rPr>
              <w:t>。</w:t>
            </w:r>
          </w:p>
        </w:tc>
      </w:tr>
      <w:tr w14:paraId="10243F8A">
        <w:tblPrEx>
          <w:tblCellMar>
            <w:top w:w="0" w:type="dxa"/>
            <w:left w:w="108" w:type="dxa"/>
            <w:bottom w:w="0" w:type="dxa"/>
            <w:right w:w="108" w:type="dxa"/>
          </w:tblCellMar>
        </w:tblPrEx>
        <w:trPr>
          <w:trHeight w:val="243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548D1DE2">
            <w:pPr>
              <w:widowControl/>
              <w:jc w:val="center"/>
              <w:textAlignment w:val="center"/>
              <w:rPr>
                <w:color w:val="000000"/>
                <w:sz w:val="22"/>
                <w:szCs w:val="22"/>
              </w:rPr>
            </w:pPr>
            <w:r>
              <w:rPr>
                <w:color w:val="000000"/>
                <w:kern w:val="0"/>
                <w:sz w:val="22"/>
                <w:szCs w:val="22"/>
                <w:lang w:bidi="ar"/>
              </w:rPr>
              <w:t>4</w:t>
            </w:r>
          </w:p>
        </w:tc>
        <w:tc>
          <w:tcPr>
            <w:tcW w:w="1195" w:type="dxa"/>
            <w:tcBorders>
              <w:top w:val="single" w:color="000000" w:sz="4" w:space="0"/>
              <w:left w:val="single" w:color="000000" w:sz="4" w:space="0"/>
              <w:bottom w:val="single" w:color="000000" w:sz="4" w:space="0"/>
              <w:right w:val="single" w:color="auto" w:sz="4" w:space="0"/>
            </w:tcBorders>
            <w:vAlign w:val="center"/>
          </w:tcPr>
          <w:p w14:paraId="3F033B87">
            <w:pPr>
              <w:widowControl/>
              <w:jc w:val="center"/>
              <w:textAlignment w:val="center"/>
              <w:rPr>
                <w:color w:val="000000"/>
                <w:sz w:val="22"/>
                <w:szCs w:val="22"/>
              </w:rPr>
            </w:pPr>
            <w:r>
              <w:rPr>
                <w:rStyle w:val="10"/>
                <w:rFonts w:hint="default" w:ascii="Times New Roman" w:hAnsi="Times New Roman" w:cs="Times New Roman"/>
                <w:lang w:bidi="ar"/>
              </w:rPr>
              <w:t>费用报价</w:t>
            </w:r>
            <w:r>
              <w:rPr>
                <w:rStyle w:val="10"/>
                <w:rFonts w:hint="default" w:ascii="Times New Roman" w:hAnsi="Times New Roman" w:cs="Times New Roman"/>
                <w:lang w:bidi="ar"/>
              </w:rPr>
              <w:br w:type="textWrapping"/>
            </w:r>
            <w:r>
              <w:rPr>
                <w:rStyle w:val="10"/>
                <w:rFonts w:hint="default" w:ascii="Times New Roman" w:hAnsi="Times New Roman" w:cs="Times New Roman"/>
                <w:lang w:bidi="ar"/>
              </w:rPr>
              <w:t>（</w:t>
            </w:r>
            <w:r>
              <w:rPr>
                <w:rStyle w:val="11"/>
                <w:lang w:bidi="ar"/>
              </w:rPr>
              <w:t>15</w:t>
            </w:r>
            <w:r>
              <w:rPr>
                <w:rStyle w:val="10"/>
                <w:rFonts w:hint="default" w:ascii="Times New Roman" w:hAnsi="Times New Roman" w:cs="Times New Roman"/>
                <w:lang w:bidi="ar"/>
              </w:rPr>
              <w:t>分）</w:t>
            </w:r>
          </w:p>
        </w:tc>
        <w:tc>
          <w:tcPr>
            <w:tcW w:w="7103" w:type="dxa"/>
            <w:tcBorders>
              <w:top w:val="single" w:color="auto" w:sz="4" w:space="0"/>
              <w:left w:val="single" w:color="auto" w:sz="4" w:space="0"/>
              <w:bottom w:val="single" w:color="auto" w:sz="4" w:space="0"/>
              <w:right w:val="single" w:color="auto" w:sz="4" w:space="0"/>
            </w:tcBorders>
            <w:vAlign w:val="center"/>
          </w:tcPr>
          <w:p w14:paraId="117891DC">
            <w:pPr>
              <w:widowControl/>
              <w:numPr>
                <w:ilvl w:val="0"/>
                <w:numId w:val="4"/>
              </w:numPr>
              <w:textAlignment w:val="center"/>
              <w:rPr>
                <w:color w:val="000000"/>
                <w:sz w:val="22"/>
                <w:szCs w:val="22"/>
              </w:rPr>
            </w:pPr>
            <w:r>
              <w:rPr>
                <w:rStyle w:val="12"/>
                <w:rFonts w:hint="default" w:ascii="Times New Roman" w:hAnsi="Times New Roman" w:cs="Times New Roman"/>
                <w:lang w:bidi="ar"/>
              </w:rPr>
              <w:t>审计费用报价得分</w:t>
            </w:r>
            <w:r>
              <w:rPr>
                <w:rStyle w:val="12"/>
                <w:rFonts w:ascii="Times New Roman" w:hAnsi="Times New Roman" w:cs="Times New Roman"/>
                <w:lang w:bidi="ar"/>
              </w:rPr>
              <w:t>=（</w:t>
            </w:r>
            <w:r>
              <w:rPr>
                <w:rStyle w:val="12"/>
                <w:rFonts w:hint="default" w:ascii="Times New Roman" w:hAnsi="Times New Roman" w:cs="Times New Roman"/>
                <w:lang w:bidi="ar"/>
              </w:rPr>
              <w:t>1-|选聘基准价-审计费用报价|/选聘基准价</w:t>
            </w:r>
            <w:r>
              <w:rPr>
                <w:rStyle w:val="12"/>
                <w:rFonts w:ascii="Times New Roman" w:hAnsi="Times New Roman" w:cs="Times New Roman"/>
                <w:lang w:bidi="ar"/>
              </w:rPr>
              <w:t>）</w:t>
            </w:r>
            <w:r>
              <w:rPr>
                <w:rStyle w:val="12"/>
                <w:rFonts w:hint="default" w:ascii="Times New Roman" w:hAnsi="Times New Roman" w:cs="Times New Roman"/>
                <w:lang w:bidi="ar"/>
              </w:rPr>
              <w:t>×15</w:t>
            </w:r>
            <w:r>
              <w:rPr>
                <w:rStyle w:val="12"/>
                <w:rFonts w:ascii="Times New Roman" w:hAnsi="Times New Roman" w:cs="Times New Roman"/>
                <w:lang w:bidi="ar"/>
              </w:rPr>
              <w:t>；</w:t>
            </w:r>
            <w:r>
              <w:rPr>
                <w:rStyle w:val="12"/>
                <w:rFonts w:hint="default" w:ascii="Times New Roman" w:hAnsi="Times New Roman" w:cs="Times New Roman"/>
                <w:lang w:bidi="ar"/>
              </w:rPr>
              <w:t xml:space="preserve"> </w:t>
            </w:r>
          </w:p>
          <w:p w14:paraId="09B9B120">
            <w:pPr>
              <w:widowControl/>
              <w:numPr>
                <w:ilvl w:val="0"/>
                <w:numId w:val="4"/>
              </w:numPr>
              <w:textAlignment w:val="center"/>
              <w:rPr>
                <w:color w:val="000000"/>
                <w:sz w:val="22"/>
                <w:szCs w:val="22"/>
              </w:rPr>
            </w:pPr>
            <w:r>
              <w:rPr>
                <w:color w:val="000000"/>
                <w:sz w:val="22"/>
                <w:szCs w:val="22"/>
              </w:rPr>
              <w:t>得分结果四舍五入保留两位小数，</w:t>
            </w:r>
            <w:r>
              <w:rPr>
                <w:color w:val="000000"/>
                <w:kern w:val="0"/>
                <w:sz w:val="22"/>
                <w:szCs w:val="22"/>
                <w:lang w:bidi="ar"/>
              </w:rPr>
              <w:t>选聘基准价是指满足选聘文件要求的所有有效投标报价的平均值；</w:t>
            </w:r>
          </w:p>
          <w:p w14:paraId="097C6247">
            <w:pPr>
              <w:widowControl/>
              <w:numPr>
                <w:ilvl w:val="0"/>
                <w:numId w:val="4"/>
              </w:numPr>
              <w:textAlignment w:val="center"/>
              <w:rPr>
                <w:color w:val="000000"/>
                <w:sz w:val="22"/>
                <w:szCs w:val="22"/>
              </w:rPr>
            </w:pPr>
            <w:r>
              <w:rPr>
                <w:color w:val="000000"/>
                <w:sz w:val="22"/>
                <w:szCs w:val="22"/>
              </w:rPr>
              <w:t>审计委员会认为</w:t>
            </w:r>
            <w:r>
              <w:rPr>
                <w:rStyle w:val="10"/>
                <w:rFonts w:hint="default" w:ascii="Times New Roman" w:hAnsi="Times New Roman" w:cs="Times New Roman"/>
                <w:lang w:bidi="ar"/>
              </w:rPr>
              <w:t>供应商</w:t>
            </w:r>
            <w:r>
              <w:rPr>
                <w:color w:val="000000"/>
                <w:sz w:val="22"/>
                <w:szCs w:val="22"/>
              </w:rPr>
              <w:t>的报价明显低于其他通过符合性审查</w:t>
            </w:r>
            <w:r>
              <w:rPr>
                <w:rStyle w:val="10"/>
                <w:rFonts w:hint="default" w:ascii="Times New Roman" w:hAnsi="Times New Roman" w:cs="Times New Roman"/>
                <w:lang w:bidi="ar"/>
              </w:rPr>
              <w:t>供应商</w:t>
            </w:r>
            <w:r>
              <w:rPr>
                <w:color w:val="000000"/>
                <w:sz w:val="22"/>
                <w:szCs w:val="22"/>
              </w:rPr>
              <w:t>的报价，有可能影响质量或者不能诚信履约的，应当要求其在评审现场合理的时间内提供书面说明，必要时提交相关证明材料；</w:t>
            </w:r>
            <w:r>
              <w:rPr>
                <w:rStyle w:val="10"/>
                <w:rFonts w:hint="default" w:ascii="Times New Roman" w:hAnsi="Times New Roman" w:cs="Times New Roman"/>
                <w:lang w:bidi="ar"/>
              </w:rPr>
              <w:t>供应商</w:t>
            </w:r>
            <w:r>
              <w:rPr>
                <w:color w:val="000000"/>
                <w:sz w:val="22"/>
                <w:szCs w:val="22"/>
              </w:rPr>
              <w:t>不能证明其报价合理性的，审计委员会应当将其作为无效报价处理</w:t>
            </w:r>
            <w:r>
              <w:rPr>
                <w:rFonts w:hint="eastAsia"/>
                <w:color w:val="000000"/>
                <w:sz w:val="22"/>
                <w:szCs w:val="22"/>
              </w:rPr>
              <w:t>。</w:t>
            </w:r>
          </w:p>
        </w:tc>
      </w:tr>
      <w:tr w14:paraId="68962FEF">
        <w:tblPrEx>
          <w:tblCellMar>
            <w:top w:w="0" w:type="dxa"/>
            <w:left w:w="108" w:type="dxa"/>
            <w:bottom w:w="0" w:type="dxa"/>
            <w:right w:w="108" w:type="dxa"/>
          </w:tblCellMar>
        </w:tblPrEx>
        <w:trPr>
          <w:trHeight w:val="326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02E9D11B">
            <w:pPr>
              <w:widowControl/>
              <w:jc w:val="center"/>
              <w:textAlignment w:val="center"/>
              <w:rPr>
                <w:color w:val="000000"/>
                <w:sz w:val="22"/>
                <w:szCs w:val="22"/>
              </w:rPr>
            </w:pPr>
            <w:r>
              <w:rPr>
                <w:color w:val="000000"/>
                <w:kern w:val="0"/>
                <w:sz w:val="22"/>
                <w:szCs w:val="22"/>
                <w:lang w:bidi="ar"/>
              </w:rPr>
              <w:t>5</w:t>
            </w:r>
          </w:p>
        </w:tc>
        <w:tc>
          <w:tcPr>
            <w:tcW w:w="1195" w:type="dxa"/>
            <w:tcBorders>
              <w:top w:val="single" w:color="000000" w:sz="4" w:space="0"/>
              <w:left w:val="single" w:color="000000" w:sz="4" w:space="0"/>
              <w:bottom w:val="single" w:color="000000" w:sz="4" w:space="0"/>
              <w:right w:val="single" w:color="000000" w:sz="4" w:space="0"/>
            </w:tcBorders>
            <w:vAlign w:val="center"/>
          </w:tcPr>
          <w:p w14:paraId="73A76AFD">
            <w:pPr>
              <w:widowControl/>
              <w:jc w:val="center"/>
              <w:textAlignment w:val="center"/>
              <w:rPr>
                <w:color w:val="000000"/>
                <w:sz w:val="22"/>
                <w:szCs w:val="22"/>
              </w:rPr>
            </w:pPr>
            <w:r>
              <w:rPr>
                <w:rStyle w:val="10"/>
                <w:rFonts w:hint="default" w:ascii="Times New Roman" w:hAnsi="Times New Roman" w:cs="Times New Roman"/>
                <w:lang w:bidi="ar"/>
              </w:rPr>
              <w:t>工作方案</w:t>
            </w:r>
            <w:r>
              <w:rPr>
                <w:rStyle w:val="10"/>
                <w:rFonts w:hint="default" w:ascii="Times New Roman" w:hAnsi="Times New Roman" w:cs="Times New Roman"/>
                <w:lang w:bidi="ar"/>
              </w:rPr>
              <w:br w:type="textWrapping"/>
            </w:r>
            <w:r>
              <w:rPr>
                <w:rStyle w:val="10"/>
                <w:rFonts w:hint="default" w:ascii="Times New Roman" w:hAnsi="Times New Roman" w:cs="Times New Roman"/>
                <w:lang w:bidi="ar"/>
              </w:rPr>
              <w:t>（</w:t>
            </w:r>
            <w:r>
              <w:rPr>
                <w:rStyle w:val="11"/>
                <w:lang w:bidi="ar"/>
              </w:rPr>
              <w:t>8</w:t>
            </w:r>
            <w:r>
              <w:rPr>
                <w:rStyle w:val="10"/>
                <w:rFonts w:hint="default" w:ascii="Times New Roman" w:hAnsi="Times New Roman" w:cs="Times New Roman"/>
                <w:lang w:bidi="ar"/>
              </w:rPr>
              <w:t>分）</w:t>
            </w:r>
          </w:p>
        </w:tc>
        <w:tc>
          <w:tcPr>
            <w:tcW w:w="7103" w:type="dxa"/>
            <w:tcBorders>
              <w:top w:val="single" w:color="auto" w:sz="4" w:space="0"/>
              <w:left w:val="single" w:color="000000" w:sz="4" w:space="0"/>
              <w:bottom w:val="single" w:color="000000" w:sz="4" w:space="0"/>
              <w:right w:val="single" w:color="000000" w:sz="4" w:space="0"/>
            </w:tcBorders>
            <w:vAlign w:val="center"/>
          </w:tcPr>
          <w:p w14:paraId="203D69F5">
            <w:pPr>
              <w:widowControl/>
              <w:textAlignment w:val="center"/>
              <w:rPr>
                <w:color w:val="000000"/>
                <w:sz w:val="22"/>
                <w:szCs w:val="22"/>
              </w:rPr>
            </w:pPr>
            <w:r>
              <w:rPr>
                <w:color w:val="000000"/>
                <w:sz w:val="22"/>
                <w:szCs w:val="22"/>
              </w:rPr>
              <w:t>供应商结合</w:t>
            </w:r>
            <w:r>
              <w:rPr>
                <w:rFonts w:hint="eastAsia"/>
                <w:color w:val="000000"/>
                <w:sz w:val="22"/>
                <w:szCs w:val="22"/>
              </w:rPr>
              <w:t>公司</w:t>
            </w:r>
            <w:r>
              <w:rPr>
                <w:color w:val="000000"/>
                <w:sz w:val="22"/>
                <w:szCs w:val="22"/>
              </w:rPr>
              <w:t>实际情况进行具体工作方案编制，包含但不限于：项目实施及进度计划、项目团队架构及安排、重点难点事项分析、时效保障措施、审计成果保障措施、延续性售后服务方案等，评分标准：</w:t>
            </w:r>
          </w:p>
          <w:p w14:paraId="5657C814">
            <w:pPr>
              <w:widowControl/>
              <w:numPr>
                <w:ilvl w:val="0"/>
                <w:numId w:val="5"/>
              </w:numPr>
              <w:textAlignment w:val="center"/>
              <w:rPr>
                <w:color w:val="000000"/>
                <w:sz w:val="22"/>
                <w:szCs w:val="22"/>
              </w:rPr>
            </w:pPr>
            <w:r>
              <w:rPr>
                <w:color w:val="000000"/>
                <w:sz w:val="22"/>
                <w:szCs w:val="22"/>
              </w:rPr>
              <w:t>工作方案内容全面完整、逻辑科学缜密、措施得当切实可行、可操作性强，得6-8分；</w:t>
            </w:r>
          </w:p>
          <w:p w14:paraId="5903A89D">
            <w:pPr>
              <w:widowControl/>
              <w:numPr>
                <w:ilvl w:val="0"/>
                <w:numId w:val="5"/>
              </w:numPr>
              <w:textAlignment w:val="center"/>
              <w:rPr>
                <w:color w:val="000000"/>
                <w:sz w:val="22"/>
                <w:szCs w:val="22"/>
              </w:rPr>
            </w:pPr>
            <w:r>
              <w:rPr>
                <w:color w:val="000000"/>
                <w:sz w:val="22"/>
                <w:szCs w:val="22"/>
              </w:rPr>
              <w:t>项目实施方案内容全面性一般、逻辑顺畅、措施一般、可操作性一般，得3-5分；</w:t>
            </w:r>
          </w:p>
          <w:p w14:paraId="55A05EB7">
            <w:pPr>
              <w:widowControl/>
              <w:numPr>
                <w:ilvl w:val="0"/>
                <w:numId w:val="5"/>
              </w:numPr>
              <w:textAlignment w:val="center"/>
              <w:rPr>
                <w:color w:val="000000"/>
                <w:sz w:val="22"/>
                <w:szCs w:val="22"/>
              </w:rPr>
            </w:pPr>
            <w:r>
              <w:rPr>
                <w:color w:val="000000"/>
                <w:sz w:val="22"/>
                <w:szCs w:val="22"/>
              </w:rPr>
              <w:t>项目实施方案内容有缺失、逻辑混乱不清、措施描述片面、缺乏可操作性的，得1-2分；</w:t>
            </w:r>
          </w:p>
          <w:p w14:paraId="6FA42500">
            <w:pPr>
              <w:widowControl/>
              <w:numPr>
                <w:ilvl w:val="0"/>
                <w:numId w:val="5"/>
              </w:numPr>
              <w:textAlignment w:val="center"/>
              <w:rPr>
                <w:color w:val="000000"/>
                <w:sz w:val="22"/>
                <w:szCs w:val="22"/>
              </w:rPr>
            </w:pPr>
            <w:r>
              <w:rPr>
                <w:color w:val="000000"/>
                <w:sz w:val="22"/>
                <w:szCs w:val="22"/>
              </w:rPr>
              <w:t>未提供方案的不得分</w:t>
            </w:r>
            <w:r>
              <w:rPr>
                <w:rFonts w:hint="eastAsia"/>
                <w:color w:val="000000"/>
                <w:sz w:val="22"/>
                <w:szCs w:val="22"/>
              </w:rPr>
              <w:t>。</w:t>
            </w:r>
          </w:p>
        </w:tc>
      </w:tr>
      <w:tr w14:paraId="7AEADD55">
        <w:tblPrEx>
          <w:tblCellMar>
            <w:top w:w="0" w:type="dxa"/>
            <w:left w:w="108" w:type="dxa"/>
            <w:bottom w:w="0" w:type="dxa"/>
            <w:right w:w="108" w:type="dxa"/>
          </w:tblCellMar>
        </w:tblPrEx>
        <w:trPr>
          <w:trHeight w:val="691"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0E498E93">
            <w:pPr>
              <w:widowControl/>
              <w:jc w:val="center"/>
              <w:textAlignment w:val="center"/>
              <w:rPr>
                <w:color w:val="000000"/>
                <w:sz w:val="22"/>
                <w:szCs w:val="22"/>
              </w:rPr>
            </w:pPr>
            <w:r>
              <w:rPr>
                <w:color w:val="000000"/>
                <w:kern w:val="0"/>
                <w:sz w:val="22"/>
                <w:szCs w:val="22"/>
                <w:lang w:bidi="ar"/>
              </w:rPr>
              <w:t>6</w:t>
            </w:r>
          </w:p>
        </w:tc>
        <w:tc>
          <w:tcPr>
            <w:tcW w:w="1195" w:type="dxa"/>
            <w:tcBorders>
              <w:top w:val="single" w:color="000000" w:sz="4" w:space="0"/>
              <w:left w:val="single" w:color="000000" w:sz="4" w:space="0"/>
              <w:bottom w:val="single" w:color="000000" w:sz="4" w:space="0"/>
              <w:right w:val="single" w:color="000000" w:sz="4" w:space="0"/>
            </w:tcBorders>
            <w:vAlign w:val="center"/>
          </w:tcPr>
          <w:p w14:paraId="2E5D2DC5">
            <w:pPr>
              <w:widowControl/>
              <w:jc w:val="center"/>
              <w:textAlignment w:val="center"/>
              <w:rPr>
                <w:color w:val="000000"/>
                <w:sz w:val="22"/>
                <w:szCs w:val="22"/>
              </w:rPr>
            </w:pPr>
            <w:r>
              <w:rPr>
                <w:rStyle w:val="12"/>
                <w:rFonts w:hint="default" w:ascii="Times New Roman" w:hAnsi="Times New Roman" w:cs="Times New Roman"/>
                <w:lang w:bidi="ar"/>
              </w:rPr>
              <w:t>人力及其他资源配备（</w:t>
            </w:r>
            <w:r>
              <w:rPr>
                <w:rStyle w:val="13"/>
                <w:lang w:bidi="ar"/>
              </w:rPr>
              <w:t>8</w:t>
            </w:r>
            <w:r>
              <w:rPr>
                <w:rStyle w:val="12"/>
                <w:rFonts w:hint="default" w:ascii="Times New Roman" w:hAnsi="Times New Roman" w:cs="Times New Roman"/>
                <w:lang w:bidi="ar"/>
              </w:rPr>
              <w:t>分）</w:t>
            </w:r>
          </w:p>
        </w:tc>
        <w:tc>
          <w:tcPr>
            <w:tcW w:w="7103" w:type="dxa"/>
            <w:tcBorders>
              <w:top w:val="single" w:color="000000" w:sz="4" w:space="0"/>
              <w:left w:val="single" w:color="000000" w:sz="4" w:space="0"/>
              <w:bottom w:val="single" w:color="000000" w:sz="4" w:space="0"/>
              <w:right w:val="single" w:color="000000" w:sz="4" w:space="0"/>
            </w:tcBorders>
            <w:vAlign w:val="center"/>
          </w:tcPr>
          <w:p w14:paraId="6F28C551">
            <w:pPr>
              <w:widowControl/>
              <w:numPr>
                <w:ilvl w:val="0"/>
                <w:numId w:val="6"/>
              </w:numPr>
              <w:textAlignment w:val="center"/>
              <w:rPr>
                <w:color w:val="000000"/>
                <w:sz w:val="22"/>
                <w:szCs w:val="22"/>
              </w:rPr>
            </w:pPr>
            <w:r>
              <w:rPr>
                <w:rStyle w:val="11"/>
                <w:lang w:bidi="ar"/>
              </w:rPr>
              <w:t>拟派项目负责人具备注册会计师证书，具有5年及以上担任上市公司审计咨询项目负责人从业经验的，得1分；</w:t>
            </w:r>
          </w:p>
          <w:p w14:paraId="6D24CD71">
            <w:pPr>
              <w:widowControl/>
              <w:numPr>
                <w:ilvl w:val="0"/>
                <w:numId w:val="6"/>
              </w:numPr>
              <w:textAlignment w:val="center"/>
              <w:rPr>
                <w:color w:val="000000"/>
                <w:sz w:val="22"/>
                <w:szCs w:val="22"/>
              </w:rPr>
            </w:pPr>
            <w:r>
              <w:rPr>
                <w:color w:val="000000"/>
                <w:kern w:val="0"/>
                <w:sz w:val="22"/>
                <w:szCs w:val="22"/>
                <w:lang w:bidi="ar"/>
              </w:rPr>
              <w:t>拟派项目团队人员（除项目负责人）具备注册会计师证书或中级及以上级会计师职称证，每1人持有有效的注册会计师证书的得1分，每1人持有中级会计师或税务师的得0.5分，同一人持有前后两类证书时不累计得分，只得1分，</w:t>
            </w:r>
            <w:r>
              <w:rPr>
                <w:rStyle w:val="11"/>
                <w:lang w:bidi="ar"/>
              </w:rPr>
              <w:t>满分4分；</w:t>
            </w:r>
          </w:p>
          <w:p w14:paraId="1135F07E">
            <w:pPr>
              <w:widowControl/>
              <w:numPr>
                <w:ilvl w:val="0"/>
                <w:numId w:val="6"/>
              </w:numPr>
              <w:textAlignment w:val="center"/>
              <w:rPr>
                <w:color w:val="000000"/>
                <w:sz w:val="22"/>
                <w:szCs w:val="22"/>
              </w:rPr>
            </w:pPr>
            <w:r>
              <w:rPr>
                <w:rStyle w:val="11"/>
                <w:lang w:bidi="ar"/>
              </w:rPr>
              <w:t>拟派项目</w:t>
            </w:r>
            <w:r>
              <w:rPr>
                <w:color w:val="000000"/>
                <w:kern w:val="0"/>
                <w:sz w:val="22"/>
                <w:szCs w:val="22"/>
                <w:lang w:bidi="ar"/>
              </w:rPr>
              <w:t>团队人员超过5人，得1分；超过6人，得2分；超过8人，得3分</w:t>
            </w:r>
            <w:r>
              <w:rPr>
                <w:rFonts w:hint="eastAsia"/>
                <w:color w:val="000000"/>
                <w:kern w:val="0"/>
                <w:sz w:val="22"/>
                <w:szCs w:val="22"/>
                <w:lang w:bidi="ar"/>
              </w:rPr>
              <w:t>，</w:t>
            </w:r>
            <w:r>
              <w:rPr>
                <w:color w:val="000000"/>
                <w:kern w:val="0"/>
                <w:sz w:val="22"/>
                <w:szCs w:val="22"/>
                <w:lang w:bidi="ar"/>
              </w:rPr>
              <w:t>本项不累计得分，取其高者计算得分</w:t>
            </w:r>
            <w:r>
              <w:rPr>
                <w:rFonts w:hint="eastAsia"/>
                <w:color w:val="000000"/>
                <w:kern w:val="0"/>
                <w:sz w:val="22"/>
                <w:szCs w:val="22"/>
                <w:lang w:bidi="ar"/>
              </w:rPr>
              <w:t>。</w:t>
            </w:r>
          </w:p>
        </w:tc>
      </w:tr>
      <w:tr w14:paraId="7E4BF2AA">
        <w:tblPrEx>
          <w:tblCellMar>
            <w:top w:w="0" w:type="dxa"/>
            <w:left w:w="108" w:type="dxa"/>
            <w:bottom w:w="0" w:type="dxa"/>
            <w:right w:w="108" w:type="dxa"/>
          </w:tblCellMar>
        </w:tblPrEx>
        <w:trPr>
          <w:trHeight w:val="467"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04B9684D">
            <w:pPr>
              <w:widowControl/>
              <w:jc w:val="center"/>
              <w:textAlignment w:val="center"/>
              <w:rPr>
                <w:color w:val="000000"/>
                <w:sz w:val="22"/>
                <w:szCs w:val="22"/>
              </w:rPr>
            </w:pPr>
            <w:r>
              <w:rPr>
                <w:color w:val="000000"/>
                <w:kern w:val="0"/>
                <w:sz w:val="22"/>
                <w:szCs w:val="22"/>
                <w:lang w:bidi="ar"/>
              </w:rPr>
              <w:t>7</w:t>
            </w:r>
          </w:p>
        </w:tc>
        <w:tc>
          <w:tcPr>
            <w:tcW w:w="1195" w:type="dxa"/>
            <w:tcBorders>
              <w:top w:val="single" w:color="000000" w:sz="4" w:space="0"/>
              <w:left w:val="single" w:color="000000" w:sz="4" w:space="0"/>
              <w:bottom w:val="single" w:color="000000" w:sz="4" w:space="0"/>
              <w:right w:val="single" w:color="000000" w:sz="4" w:space="0"/>
            </w:tcBorders>
            <w:vAlign w:val="center"/>
          </w:tcPr>
          <w:p w14:paraId="3F76436A">
            <w:pPr>
              <w:widowControl/>
              <w:jc w:val="center"/>
              <w:textAlignment w:val="center"/>
              <w:rPr>
                <w:rStyle w:val="12"/>
                <w:rFonts w:hint="default" w:ascii="Times New Roman" w:hAnsi="Times New Roman" w:cs="Times New Roman"/>
                <w:lang w:bidi="ar"/>
              </w:rPr>
            </w:pPr>
            <w:r>
              <w:rPr>
                <w:rStyle w:val="12"/>
                <w:rFonts w:hint="default" w:ascii="Times New Roman" w:hAnsi="Times New Roman" w:cs="Times New Roman"/>
                <w:lang w:bidi="ar"/>
              </w:rPr>
              <w:t>信息安全管理</w:t>
            </w:r>
          </w:p>
          <w:p w14:paraId="06A66C46">
            <w:pPr>
              <w:widowControl/>
              <w:jc w:val="center"/>
              <w:textAlignment w:val="center"/>
              <w:rPr>
                <w:color w:val="000000"/>
                <w:sz w:val="22"/>
                <w:szCs w:val="22"/>
              </w:rPr>
            </w:pPr>
            <w:r>
              <w:rPr>
                <w:rStyle w:val="12"/>
                <w:rFonts w:hint="default" w:ascii="Times New Roman" w:hAnsi="Times New Roman" w:cs="Times New Roman"/>
                <w:lang w:bidi="ar"/>
              </w:rPr>
              <w:t>（</w:t>
            </w:r>
            <w:r>
              <w:rPr>
                <w:rStyle w:val="13"/>
                <w:lang w:bidi="ar"/>
              </w:rPr>
              <w:t>7</w:t>
            </w:r>
            <w:r>
              <w:rPr>
                <w:rStyle w:val="12"/>
                <w:rFonts w:hint="default" w:ascii="Times New Roman" w:hAnsi="Times New Roman" w:cs="Times New Roman"/>
                <w:lang w:bidi="ar"/>
              </w:rPr>
              <w:t>分）</w:t>
            </w:r>
          </w:p>
        </w:tc>
        <w:tc>
          <w:tcPr>
            <w:tcW w:w="7103" w:type="dxa"/>
            <w:tcBorders>
              <w:top w:val="single" w:color="000000" w:sz="4" w:space="0"/>
              <w:left w:val="single" w:color="000000" w:sz="4" w:space="0"/>
              <w:bottom w:val="single" w:color="000000" w:sz="4" w:space="0"/>
              <w:right w:val="single" w:color="000000" w:sz="4" w:space="0"/>
            </w:tcBorders>
            <w:vAlign w:val="center"/>
          </w:tcPr>
          <w:p w14:paraId="44D118BD">
            <w:pPr>
              <w:widowControl/>
              <w:numPr>
                <w:ilvl w:val="0"/>
                <w:numId w:val="7"/>
              </w:numPr>
              <w:textAlignment w:val="center"/>
              <w:rPr>
                <w:color w:val="000000"/>
                <w:sz w:val="22"/>
                <w:szCs w:val="22"/>
              </w:rPr>
            </w:pPr>
            <w:r>
              <w:rPr>
                <w:rStyle w:val="10"/>
                <w:rFonts w:hint="default" w:ascii="Times New Roman" w:hAnsi="Times New Roman" w:cs="Times New Roman"/>
                <w:lang w:bidi="ar"/>
              </w:rPr>
              <w:t>具有信息安全管理体系认证，得</w:t>
            </w:r>
            <w:r>
              <w:rPr>
                <w:rStyle w:val="11"/>
                <w:lang w:bidi="ar"/>
              </w:rPr>
              <w:t>4</w:t>
            </w:r>
            <w:r>
              <w:rPr>
                <w:rStyle w:val="10"/>
                <w:rFonts w:hint="default" w:ascii="Times New Roman" w:hAnsi="Times New Roman" w:cs="Times New Roman"/>
                <w:lang w:bidi="ar"/>
              </w:rPr>
              <w:t>分</w:t>
            </w:r>
            <w:r>
              <w:rPr>
                <w:rStyle w:val="10"/>
                <w:rFonts w:ascii="Times New Roman" w:hAnsi="Times New Roman" w:cs="Times New Roman"/>
                <w:lang w:bidi="ar"/>
              </w:rPr>
              <w:t>；</w:t>
            </w:r>
          </w:p>
          <w:p w14:paraId="36C8A1C1">
            <w:pPr>
              <w:widowControl/>
              <w:numPr>
                <w:ilvl w:val="0"/>
                <w:numId w:val="7"/>
              </w:numPr>
              <w:textAlignment w:val="center"/>
              <w:rPr>
                <w:color w:val="000000"/>
                <w:sz w:val="22"/>
                <w:szCs w:val="22"/>
              </w:rPr>
            </w:pPr>
            <w:r>
              <w:rPr>
                <w:rStyle w:val="10"/>
                <w:rFonts w:hint="default" w:ascii="Times New Roman" w:hAnsi="Times New Roman" w:cs="Times New Roman"/>
                <w:lang w:bidi="ar"/>
              </w:rPr>
              <w:t>有完善的保密管理体系及规章制度、保密措施及保密场所，得</w:t>
            </w:r>
            <w:r>
              <w:rPr>
                <w:rStyle w:val="11"/>
                <w:lang w:bidi="ar"/>
              </w:rPr>
              <w:t>3</w:t>
            </w:r>
            <w:r>
              <w:rPr>
                <w:rStyle w:val="10"/>
                <w:rFonts w:hint="default" w:ascii="Times New Roman" w:hAnsi="Times New Roman" w:cs="Times New Roman"/>
                <w:lang w:bidi="ar"/>
              </w:rPr>
              <w:t>分</w:t>
            </w:r>
            <w:r>
              <w:rPr>
                <w:rStyle w:val="10"/>
                <w:rFonts w:ascii="Times New Roman" w:hAnsi="Times New Roman" w:cs="Times New Roman"/>
                <w:lang w:bidi="ar"/>
              </w:rPr>
              <w:t>。</w:t>
            </w:r>
          </w:p>
        </w:tc>
      </w:tr>
      <w:tr w14:paraId="0541F10B">
        <w:tblPrEx>
          <w:tblCellMar>
            <w:top w:w="0" w:type="dxa"/>
            <w:left w:w="108" w:type="dxa"/>
            <w:bottom w:w="0" w:type="dxa"/>
            <w:right w:w="108" w:type="dxa"/>
          </w:tblCellMar>
        </w:tblPrEx>
        <w:trPr>
          <w:trHeight w:val="76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34F30A43">
            <w:pPr>
              <w:widowControl/>
              <w:jc w:val="center"/>
              <w:textAlignment w:val="center"/>
              <w:rPr>
                <w:color w:val="000000"/>
                <w:sz w:val="22"/>
                <w:szCs w:val="22"/>
              </w:rPr>
            </w:pPr>
            <w:r>
              <w:rPr>
                <w:color w:val="000000"/>
                <w:kern w:val="0"/>
                <w:sz w:val="22"/>
                <w:szCs w:val="22"/>
                <w:lang w:bidi="ar"/>
              </w:rPr>
              <w:t>8</w:t>
            </w:r>
          </w:p>
        </w:tc>
        <w:tc>
          <w:tcPr>
            <w:tcW w:w="1195" w:type="dxa"/>
            <w:tcBorders>
              <w:top w:val="single" w:color="000000" w:sz="4" w:space="0"/>
              <w:left w:val="single" w:color="000000" w:sz="4" w:space="0"/>
              <w:bottom w:val="single" w:color="000000" w:sz="4" w:space="0"/>
              <w:right w:val="single" w:color="000000" w:sz="4" w:space="0"/>
            </w:tcBorders>
            <w:vAlign w:val="center"/>
          </w:tcPr>
          <w:p w14:paraId="0A4F69A7">
            <w:pPr>
              <w:widowControl/>
              <w:jc w:val="center"/>
              <w:textAlignment w:val="center"/>
              <w:rPr>
                <w:color w:val="000000"/>
                <w:sz w:val="22"/>
                <w:szCs w:val="22"/>
              </w:rPr>
            </w:pPr>
            <w:r>
              <w:rPr>
                <w:rStyle w:val="12"/>
                <w:rFonts w:hint="default" w:ascii="Times New Roman" w:hAnsi="Times New Roman" w:cs="Times New Roman"/>
                <w:lang w:bidi="ar"/>
              </w:rPr>
              <w:t>风险承担</w:t>
            </w:r>
            <w:r>
              <w:rPr>
                <w:rStyle w:val="12"/>
                <w:rFonts w:hint="default" w:ascii="Times New Roman" w:hAnsi="Times New Roman" w:cs="Times New Roman"/>
                <w:lang w:bidi="ar"/>
              </w:rPr>
              <w:br w:type="textWrapping"/>
            </w:r>
            <w:r>
              <w:rPr>
                <w:rStyle w:val="12"/>
                <w:rFonts w:hint="default" w:ascii="Times New Roman" w:hAnsi="Times New Roman" w:cs="Times New Roman"/>
                <w:lang w:bidi="ar"/>
              </w:rPr>
              <w:t>能力水平</w:t>
            </w:r>
            <w:r>
              <w:rPr>
                <w:rStyle w:val="12"/>
                <w:rFonts w:hint="default" w:ascii="Times New Roman" w:hAnsi="Times New Roman" w:cs="Times New Roman"/>
                <w:lang w:bidi="ar"/>
              </w:rPr>
              <w:br w:type="textWrapping"/>
            </w:r>
            <w:r>
              <w:rPr>
                <w:rStyle w:val="12"/>
                <w:rFonts w:hint="default" w:ascii="Times New Roman" w:hAnsi="Times New Roman" w:cs="Times New Roman"/>
                <w:lang w:bidi="ar"/>
              </w:rPr>
              <w:t>（</w:t>
            </w:r>
            <w:r>
              <w:rPr>
                <w:rStyle w:val="13"/>
                <w:lang w:bidi="ar"/>
              </w:rPr>
              <w:t>6</w:t>
            </w:r>
            <w:r>
              <w:rPr>
                <w:rStyle w:val="12"/>
                <w:rFonts w:hint="default" w:ascii="Times New Roman" w:hAnsi="Times New Roman" w:cs="Times New Roman"/>
                <w:lang w:bidi="ar"/>
              </w:rPr>
              <w:t>分）</w:t>
            </w:r>
          </w:p>
        </w:tc>
        <w:tc>
          <w:tcPr>
            <w:tcW w:w="7103" w:type="dxa"/>
            <w:tcBorders>
              <w:top w:val="single" w:color="000000" w:sz="4" w:space="0"/>
              <w:left w:val="single" w:color="000000" w:sz="4" w:space="0"/>
              <w:bottom w:val="single" w:color="000000" w:sz="4" w:space="0"/>
              <w:right w:val="single" w:color="000000" w:sz="4" w:space="0"/>
            </w:tcBorders>
            <w:vAlign w:val="center"/>
          </w:tcPr>
          <w:p w14:paraId="3EDBFF84">
            <w:pPr>
              <w:widowControl/>
              <w:numPr>
                <w:ilvl w:val="0"/>
                <w:numId w:val="8"/>
              </w:numPr>
              <w:textAlignment w:val="center"/>
              <w:rPr>
                <w:rStyle w:val="10"/>
                <w:rFonts w:hint="default" w:ascii="Times New Roman" w:hAnsi="Times New Roman" w:cs="Times New Roman"/>
                <w:lang w:bidi="ar"/>
              </w:rPr>
            </w:pPr>
            <w:r>
              <w:rPr>
                <w:rStyle w:val="10"/>
                <w:rFonts w:hint="default" w:ascii="Times New Roman" w:hAnsi="Times New Roman" w:cs="Times New Roman"/>
                <w:lang w:bidi="ar"/>
              </w:rPr>
              <w:t>累计赔偿限额超过</w:t>
            </w:r>
            <w:r>
              <w:rPr>
                <w:rStyle w:val="11"/>
                <w:lang w:bidi="ar"/>
              </w:rPr>
              <w:t>4</w:t>
            </w:r>
            <w:r>
              <w:rPr>
                <w:rStyle w:val="10"/>
                <w:rFonts w:hint="default" w:ascii="Times New Roman" w:hAnsi="Times New Roman" w:cs="Times New Roman"/>
                <w:lang w:bidi="ar"/>
              </w:rPr>
              <w:t>亿元的，得</w:t>
            </w:r>
            <w:r>
              <w:rPr>
                <w:rStyle w:val="11"/>
                <w:lang w:bidi="ar"/>
              </w:rPr>
              <w:t>1</w:t>
            </w:r>
            <w:r>
              <w:rPr>
                <w:rStyle w:val="10"/>
                <w:rFonts w:hint="default" w:ascii="Times New Roman" w:hAnsi="Times New Roman" w:cs="Times New Roman"/>
                <w:lang w:bidi="ar"/>
              </w:rPr>
              <w:t>分；超过</w:t>
            </w:r>
            <w:r>
              <w:rPr>
                <w:rStyle w:val="11"/>
                <w:lang w:bidi="ar"/>
              </w:rPr>
              <w:t>6</w:t>
            </w:r>
            <w:r>
              <w:rPr>
                <w:rStyle w:val="10"/>
                <w:rFonts w:hint="default" w:ascii="Times New Roman" w:hAnsi="Times New Roman" w:cs="Times New Roman"/>
                <w:lang w:bidi="ar"/>
              </w:rPr>
              <w:t>亿元的，得</w:t>
            </w:r>
            <w:r>
              <w:rPr>
                <w:rStyle w:val="11"/>
                <w:lang w:bidi="ar"/>
              </w:rPr>
              <w:t>2</w:t>
            </w:r>
            <w:r>
              <w:rPr>
                <w:rStyle w:val="10"/>
                <w:rFonts w:hint="default" w:ascii="Times New Roman" w:hAnsi="Times New Roman" w:cs="Times New Roman"/>
                <w:lang w:bidi="ar"/>
              </w:rPr>
              <w:t>分；超过</w:t>
            </w:r>
            <w:r>
              <w:rPr>
                <w:rStyle w:val="11"/>
                <w:lang w:bidi="ar"/>
              </w:rPr>
              <w:t>8</w:t>
            </w:r>
            <w:r>
              <w:rPr>
                <w:rStyle w:val="10"/>
                <w:rFonts w:hint="default" w:ascii="Times New Roman" w:hAnsi="Times New Roman" w:cs="Times New Roman"/>
                <w:lang w:bidi="ar"/>
              </w:rPr>
              <w:t>亿元的，得</w:t>
            </w:r>
            <w:r>
              <w:rPr>
                <w:rStyle w:val="11"/>
                <w:lang w:bidi="ar"/>
              </w:rPr>
              <w:t>3</w:t>
            </w:r>
            <w:r>
              <w:rPr>
                <w:rStyle w:val="10"/>
                <w:rFonts w:hint="default" w:ascii="Times New Roman" w:hAnsi="Times New Roman" w:cs="Times New Roman"/>
                <w:lang w:bidi="ar"/>
              </w:rPr>
              <w:t>分，本项不累计得分，取其高者计算得分；</w:t>
            </w:r>
          </w:p>
          <w:p w14:paraId="3DD0560A">
            <w:pPr>
              <w:widowControl/>
              <w:numPr>
                <w:ilvl w:val="0"/>
                <w:numId w:val="8"/>
              </w:numPr>
              <w:textAlignment w:val="center"/>
              <w:rPr>
                <w:rStyle w:val="10"/>
                <w:rFonts w:hint="default" w:ascii="Times New Roman" w:hAnsi="Times New Roman" w:cs="Times New Roman"/>
                <w:lang w:bidi="ar"/>
              </w:rPr>
            </w:pPr>
            <w:r>
              <w:rPr>
                <w:rStyle w:val="10"/>
                <w:rFonts w:hint="default" w:ascii="Times New Roman" w:hAnsi="Times New Roman" w:cs="Times New Roman"/>
                <w:lang w:bidi="ar"/>
              </w:rPr>
              <w:t>职业风险基金超过</w:t>
            </w:r>
            <w:r>
              <w:rPr>
                <w:rStyle w:val="11"/>
                <w:lang w:bidi="ar"/>
              </w:rPr>
              <w:t>500</w:t>
            </w:r>
            <w:r>
              <w:rPr>
                <w:rStyle w:val="10"/>
                <w:rFonts w:hint="default" w:ascii="Times New Roman" w:hAnsi="Times New Roman" w:cs="Times New Roman"/>
                <w:lang w:bidi="ar"/>
              </w:rPr>
              <w:t>万的，得</w:t>
            </w:r>
            <w:r>
              <w:rPr>
                <w:rStyle w:val="11"/>
                <w:lang w:bidi="ar"/>
              </w:rPr>
              <w:t>2</w:t>
            </w:r>
            <w:r>
              <w:rPr>
                <w:rStyle w:val="10"/>
                <w:rFonts w:hint="default" w:ascii="Times New Roman" w:hAnsi="Times New Roman" w:cs="Times New Roman"/>
                <w:lang w:bidi="ar"/>
              </w:rPr>
              <w:t>分；超过</w:t>
            </w:r>
            <w:r>
              <w:rPr>
                <w:rStyle w:val="11"/>
                <w:lang w:bidi="ar"/>
              </w:rPr>
              <w:t>1000</w:t>
            </w:r>
            <w:r>
              <w:rPr>
                <w:rStyle w:val="10"/>
                <w:rFonts w:hint="default" w:ascii="Times New Roman" w:hAnsi="Times New Roman" w:cs="Times New Roman"/>
                <w:lang w:bidi="ar"/>
              </w:rPr>
              <w:t>万的，得</w:t>
            </w:r>
            <w:r>
              <w:rPr>
                <w:rStyle w:val="11"/>
                <w:lang w:bidi="ar"/>
              </w:rPr>
              <w:t>3</w:t>
            </w:r>
            <w:r>
              <w:rPr>
                <w:rStyle w:val="10"/>
                <w:rFonts w:hint="default" w:ascii="Times New Roman" w:hAnsi="Times New Roman" w:cs="Times New Roman"/>
                <w:lang w:bidi="ar"/>
              </w:rPr>
              <w:t>分。本项不累计得分，取其高者计算得分</w:t>
            </w:r>
            <w:r>
              <w:rPr>
                <w:rStyle w:val="10"/>
                <w:rFonts w:ascii="Times New Roman" w:hAnsi="Times New Roman" w:cs="Times New Roman"/>
                <w:lang w:bidi="ar"/>
              </w:rPr>
              <w:t>。</w:t>
            </w:r>
          </w:p>
        </w:tc>
      </w:tr>
      <w:tr w14:paraId="0DDCA75A">
        <w:tblPrEx>
          <w:tblCellMar>
            <w:top w:w="0" w:type="dxa"/>
            <w:left w:w="108" w:type="dxa"/>
            <w:bottom w:w="0" w:type="dxa"/>
            <w:right w:w="108" w:type="dxa"/>
          </w:tblCellMar>
        </w:tblPrEx>
        <w:trPr>
          <w:trHeight w:val="500" w:hRule="atLeast"/>
          <w:jc w:val="center"/>
        </w:trPr>
        <w:tc>
          <w:tcPr>
            <w:tcW w:w="9085" w:type="dxa"/>
            <w:gridSpan w:val="3"/>
            <w:tcBorders>
              <w:top w:val="single" w:color="000000" w:sz="4" w:space="0"/>
              <w:left w:val="single" w:color="000000" w:sz="4" w:space="0"/>
              <w:bottom w:val="single" w:color="000000" w:sz="4" w:space="0"/>
              <w:right w:val="single" w:color="000000" w:sz="4" w:space="0"/>
            </w:tcBorders>
            <w:vAlign w:val="center"/>
          </w:tcPr>
          <w:p w14:paraId="4667DEA9">
            <w:pPr>
              <w:widowControl/>
              <w:jc w:val="center"/>
              <w:textAlignment w:val="center"/>
              <w:rPr>
                <w:b/>
                <w:bCs/>
                <w:color w:val="000000"/>
                <w:sz w:val="22"/>
                <w:szCs w:val="22"/>
              </w:rPr>
            </w:pPr>
            <w:r>
              <w:rPr>
                <w:b/>
                <w:bCs/>
                <w:color w:val="000000"/>
                <w:kern w:val="0"/>
                <w:sz w:val="22"/>
                <w:szCs w:val="22"/>
                <w:lang w:bidi="ar"/>
              </w:rPr>
              <w:t>合计：100分</w:t>
            </w:r>
          </w:p>
        </w:tc>
      </w:tr>
    </w:tbl>
    <w:p w14:paraId="20E702CB">
      <w:pPr>
        <w:spacing w:line="480" w:lineRule="exact"/>
        <w:rPr>
          <w:rFonts w:hint="eastAsia" w:ascii="仿宋_GB2312" w:hAnsi="仿宋_GB2312" w:eastAsia="仿宋_GB2312" w:cs="仿宋_GB2312"/>
          <w:sz w:val="24"/>
          <w:szCs w:val="24"/>
        </w:rPr>
      </w:pPr>
    </w:p>
    <w:p w14:paraId="0B9EA797">
      <w:pPr>
        <w:spacing w:line="360" w:lineRule="auto"/>
        <w:rPr>
          <w:rFonts w:hint="eastAsia" w:ascii="宋体" w:hAnsi="宋体" w:cs="宋体"/>
          <w:sz w:val="24"/>
          <w:szCs w:val="24"/>
        </w:rPr>
      </w:pPr>
    </w:p>
    <w:p w14:paraId="7AC46C51">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EC96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FCD54">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7FCD54">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5B9E"/>
    <w:multiLevelType w:val="singleLevel"/>
    <w:tmpl w:val="C5335B9E"/>
    <w:lvl w:ilvl="0" w:tentative="0">
      <w:start w:val="1"/>
      <w:numFmt w:val="decimal"/>
      <w:suff w:val="space"/>
      <w:lvlText w:val="%1."/>
      <w:lvlJc w:val="left"/>
    </w:lvl>
  </w:abstractNum>
  <w:abstractNum w:abstractNumId="1">
    <w:nsid w:val="C61BB449"/>
    <w:multiLevelType w:val="singleLevel"/>
    <w:tmpl w:val="C61BB449"/>
    <w:lvl w:ilvl="0" w:tentative="0">
      <w:start w:val="1"/>
      <w:numFmt w:val="decimal"/>
      <w:suff w:val="space"/>
      <w:lvlText w:val="%1."/>
      <w:lvlJc w:val="left"/>
    </w:lvl>
  </w:abstractNum>
  <w:abstractNum w:abstractNumId="2">
    <w:nsid w:val="F34E2FCB"/>
    <w:multiLevelType w:val="singleLevel"/>
    <w:tmpl w:val="F34E2FCB"/>
    <w:lvl w:ilvl="0" w:tentative="0">
      <w:start w:val="1"/>
      <w:numFmt w:val="decimal"/>
      <w:suff w:val="space"/>
      <w:lvlText w:val="%1."/>
      <w:lvlJc w:val="left"/>
    </w:lvl>
  </w:abstractNum>
  <w:abstractNum w:abstractNumId="3">
    <w:nsid w:val="2BCB25FF"/>
    <w:multiLevelType w:val="singleLevel"/>
    <w:tmpl w:val="2BCB25FF"/>
    <w:lvl w:ilvl="0" w:tentative="0">
      <w:start w:val="1"/>
      <w:numFmt w:val="decimal"/>
      <w:suff w:val="space"/>
      <w:lvlText w:val="%1."/>
      <w:lvlJc w:val="left"/>
    </w:lvl>
  </w:abstractNum>
  <w:abstractNum w:abstractNumId="4">
    <w:nsid w:val="38F92565"/>
    <w:multiLevelType w:val="singleLevel"/>
    <w:tmpl w:val="38F92565"/>
    <w:lvl w:ilvl="0" w:tentative="0">
      <w:start w:val="1"/>
      <w:numFmt w:val="decimal"/>
      <w:suff w:val="space"/>
      <w:lvlText w:val="%1."/>
      <w:lvlJc w:val="left"/>
    </w:lvl>
  </w:abstractNum>
  <w:abstractNum w:abstractNumId="5">
    <w:nsid w:val="4A08F01E"/>
    <w:multiLevelType w:val="singleLevel"/>
    <w:tmpl w:val="4A08F01E"/>
    <w:lvl w:ilvl="0" w:tentative="0">
      <w:start w:val="1"/>
      <w:numFmt w:val="decimal"/>
      <w:suff w:val="space"/>
      <w:lvlText w:val="%1."/>
      <w:lvlJc w:val="left"/>
    </w:lvl>
  </w:abstractNum>
  <w:abstractNum w:abstractNumId="6">
    <w:nsid w:val="7ADB9FBD"/>
    <w:multiLevelType w:val="singleLevel"/>
    <w:tmpl w:val="7ADB9FBD"/>
    <w:lvl w:ilvl="0" w:tentative="0">
      <w:start w:val="1"/>
      <w:numFmt w:val="decimal"/>
      <w:suff w:val="space"/>
      <w:lvlText w:val="%1."/>
      <w:lvlJc w:val="left"/>
    </w:lvl>
  </w:abstractNum>
  <w:abstractNum w:abstractNumId="7">
    <w:nsid w:val="7D373358"/>
    <w:multiLevelType w:val="singleLevel"/>
    <w:tmpl w:val="7D373358"/>
    <w:lvl w:ilvl="0" w:tentative="0">
      <w:start w:val="1"/>
      <w:numFmt w:val="decimal"/>
      <w:suff w:val="space"/>
      <w:lvlText w:val="%1."/>
      <w:lvlJc w:val="left"/>
    </w:lvl>
  </w:abstractNum>
  <w:num w:numId="1">
    <w:abstractNumId w:val="0"/>
  </w:num>
  <w:num w:numId="2">
    <w:abstractNumId w:val="3"/>
  </w:num>
  <w:num w:numId="3">
    <w:abstractNumId w:val="7"/>
  </w:num>
  <w:num w:numId="4">
    <w:abstractNumId w:val="4"/>
  </w:num>
  <w:num w:numId="5">
    <w:abstractNumId w:val="1"/>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C0137"/>
    <w:rsid w:val="007C0F2D"/>
    <w:rsid w:val="015E152F"/>
    <w:rsid w:val="083C4CCF"/>
    <w:rsid w:val="0A4F4155"/>
    <w:rsid w:val="0BEB51B8"/>
    <w:rsid w:val="0D241B28"/>
    <w:rsid w:val="0D7107A6"/>
    <w:rsid w:val="17BC42DD"/>
    <w:rsid w:val="18BC630A"/>
    <w:rsid w:val="224772E3"/>
    <w:rsid w:val="28AD6156"/>
    <w:rsid w:val="2DB45D37"/>
    <w:rsid w:val="2FC77943"/>
    <w:rsid w:val="33B11FEF"/>
    <w:rsid w:val="346045FB"/>
    <w:rsid w:val="34FC7A83"/>
    <w:rsid w:val="36AC7EA3"/>
    <w:rsid w:val="39326587"/>
    <w:rsid w:val="3B115CBC"/>
    <w:rsid w:val="3DB8485A"/>
    <w:rsid w:val="48463315"/>
    <w:rsid w:val="4D605D49"/>
    <w:rsid w:val="4D805499"/>
    <w:rsid w:val="4EE10A78"/>
    <w:rsid w:val="4FEB6EEE"/>
    <w:rsid w:val="550C55B2"/>
    <w:rsid w:val="5C0C0137"/>
    <w:rsid w:val="5F450CFD"/>
    <w:rsid w:val="5F8C4C37"/>
    <w:rsid w:val="5F9E12AD"/>
    <w:rsid w:val="6043757B"/>
    <w:rsid w:val="61161505"/>
    <w:rsid w:val="63155F18"/>
    <w:rsid w:val="6B697787"/>
    <w:rsid w:val="7A5614D3"/>
    <w:rsid w:val="7C861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01"/>
    <w:basedOn w:val="7"/>
    <w:qFormat/>
    <w:uiPriority w:val="0"/>
    <w:rPr>
      <w:rFonts w:hint="eastAsia" w:ascii="宋体" w:hAnsi="宋体" w:eastAsia="宋体" w:cs="宋体"/>
      <w:color w:val="000000"/>
      <w:sz w:val="22"/>
      <w:szCs w:val="22"/>
      <w:u w:val="none"/>
    </w:rPr>
  </w:style>
  <w:style w:type="character" w:customStyle="1" w:styleId="11">
    <w:name w:val="font21"/>
    <w:basedOn w:val="7"/>
    <w:qFormat/>
    <w:uiPriority w:val="0"/>
    <w:rPr>
      <w:rFonts w:hint="default" w:ascii="Times New Roman" w:hAnsi="Times New Roman" w:cs="Times New Roman"/>
      <w:color w:val="000000"/>
      <w:sz w:val="22"/>
      <w:szCs w:val="22"/>
      <w:u w:val="none"/>
    </w:rPr>
  </w:style>
  <w:style w:type="character" w:customStyle="1" w:styleId="12">
    <w:name w:val="font61"/>
    <w:basedOn w:val="7"/>
    <w:qFormat/>
    <w:uiPriority w:val="0"/>
    <w:rPr>
      <w:rFonts w:hint="eastAsia" w:ascii="宋体" w:hAnsi="宋体" w:eastAsia="宋体" w:cs="宋体"/>
      <w:color w:val="000000"/>
      <w:sz w:val="22"/>
      <w:szCs w:val="22"/>
      <w:u w:val="none"/>
    </w:rPr>
  </w:style>
  <w:style w:type="character" w:customStyle="1" w:styleId="13">
    <w:name w:val="font8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2546</Words>
  <Characters>2691</Characters>
  <Lines>0</Lines>
  <Paragraphs>0</Paragraphs>
  <TotalTime>2</TotalTime>
  <ScaleCrop>false</ScaleCrop>
  <LinksUpToDate>false</LinksUpToDate>
  <CharactersWithSpaces>2695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2025-09-24T00:34:00Z</dcterms:created>
  <dc:creator>mingmei</dc:creator>
  <cp:lastModifiedBy>唐兵</cp:lastModifiedBy>
  <dcterms:modified xsi:type="dcterms:W3CDTF">2025-10-20T03:42:24Z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83F154F99ED44686B765CCDBFE4135C1_13</vt:lpwstr>
  </property>
  <property fmtid="{D5CDD505-2E9C-101B-9397-08002B2CF9AE}" pid="4" name="KSOTemplateDocerSaveRecord">
    <vt:lpwstr>eyJoZGlkIjoiYjhkN2RkOWE5OGYxMWFiNGY2OWEzZTZjMjJjNmJjYjQiLCJ1c2VySWQiOiIxNDU4OTk0Nzc0In0=</vt:lpwstr>
  </property>
</Properties>
</file>